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ind w:left="4"/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黑体" w:eastAsia="方正小标宋简体" w:cs="仿宋"/>
          <w:b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仿宋"/>
          <w:b w:val="0"/>
          <w:sz w:val="44"/>
          <w:szCs w:val="44"/>
        </w:rPr>
        <w:t>“粤故事”选题范围参考</w:t>
      </w:r>
    </w:p>
    <w:bookmarkEnd w:id="0"/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一、综合篇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抓取国家重大战略在广东的实施、省委工作部署落实情况以及其他能够反映新时代广东特点的事物(包括广东产品、广东企业、广东产业等),叙其来龙去脉及其结果影响，帮助在工作中把握好历史传承、特色文化和时代要求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二、名人篇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在本地工作和生活过的岭南先贤、英雄志士、先锋楷模、能工巧匠以及其他在全省乃至在全国有一定影响的历史名人。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三、名事篇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在全省乃至全国产生重大影响的历史事件。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四、名物篇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(一)具有鲜明特色的山水、湖海、花木、机场、港口、公路、桥梁、轨道交通等。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(二)具有全省乃至全国影响的革命遗址以及名产、名园、名楼、名塔、名著、名校、名工程等。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(三)国家级老字号/非物质文化遗产/国家工业遗产/重要农业文化遗产等。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五、名地篇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(一)国家历史文化名城、名镇、名村以及其他国家级产业强镇、教育强镇。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(二)具有全省乃至全国影响的名山、名水、名湖、名岛、名街、名巷、名港等。如，八景沿革、古港、南粤古驿道等。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NThkMjVmZWIyNDdmN2ZjNzMxMjNiZGNjOWZhNzgifQ=="/>
  </w:docVars>
  <w:rsids>
    <w:rsidRoot w:val="21722815"/>
    <w:rsid w:val="2172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412</Characters>
  <Lines>0</Lines>
  <Paragraphs>0</Paragraphs>
  <TotalTime>8</TotalTime>
  <ScaleCrop>false</ScaleCrop>
  <LinksUpToDate>false</LinksUpToDate>
  <CharactersWithSpaces>412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2023-03-16T09:13:00Z</dcterms:created>
  <dc:creator>李绮晴</dc:creator>
  <cp:lastModifiedBy>李绮晴</cp:lastModifiedBy>
  <dcterms:modified xsi:type="dcterms:W3CDTF">2023-03-16T09:23:07Z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B37CB5B09E1046A9ADF301A2514C5774</vt:lpwstr>
  </property>
</Properties>
</file>